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2049080"/>
    <w:bookmarkEnd w:id="0"/>
    <w:p w14:paraId="6E2CB2F0" w14:textId="05720C69" w:rsidR="00100F6F" w:rsidRDefault="00E714AF" w:rsidP="00682A15">
      <w:pPr>
        <w:spacing w:before="208" w:line="199" w:lineRule="auto"/>
        <w:ind w:left="851" w:right="853"/>
        <w:rPr>
          <w:b/>
          <w:color w:val="DB1F26"/>
          <w:spacing w:val="-7"/>
          <w:sz w:val="52"/>
        </w:rPr>
      </w:pPr>
      <w:r>
        <w:rPr>
          <w:b/>
          <w:noProof/>
          <w:color w:val="DB1F26"/>
          <w:spacing w:val="-7"/>
          <w:sz w:val="5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2B70905" wp14:editId="260A31D6">
                <wp:simplePos x="0" y="0"/>
                <wp:positionH relativeFrom="column">
                  <wp:posOffset>266700</wp:posOffset>
                </wp:positionH>
                <wp:positionV relativeFrom="paragraph">
                  <wp:posOffset>1364615</wp:posOffset>
                </wp:positionV>
                <wp:extent cx="2943225" cy="452120"/>
                <wp:effectExtent l="0" t="0" r="2857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5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92F6" w14:textId="77777777" w:rsidR="008C7B02" w:rsidRPr="003414C5" w:rsidRDefault="008C7B02" w:rsidP="008C7B02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4BD6C5A0" w14:textId="50DD4CCF" w:rsidR="008C7B02" w:rsidRPr="003414C5" w:rsidRDefault="00162AC1" w:rsidP="008C7B02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Information</w:t>
                            </w:r>
                            <w:r w:rsidR="008C7B02" w:rsidRPr="003414C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for </w:t>
                            </w:r>
                            <w:r w:rsidR="008C7B0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70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107.45pt;width:231.75pt;height:35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" fillcolor="#7f7f7f [1612]" strokecolor="#7f7f7f [1612]">
                <v:textbox>
                  <w:txbxContent>
                    <w:p w14:paraId="519492F6" w14:textId="77777777" w:rsidR="008C7B02" w:rsidRPr="003414C5" w:rsidRDefault="008C7B02" w:rsidP="008C7B02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4BD6C5A0" w14:textId="50DD4CCF" w:rsidR="008C7B02" w:rsidRPr="003414C5" w:rsidRDefault="00162AC1" w:rsidP="008C7B02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Information</w:t>
                      </w:r>
                      <w:r w:rsidR="008C7B02" w:rsidRPr="003414C5">
                        <w:rPr>
                          <w:b/>
                          <w:color w:val="FFFFFF" w:themeColor="background1"/>
                          <w:sz w:val="36"/>
                        </w:rPr>
                        <w:t xml:space="preserve"> for </w:t>
                      </w:r>
                      <w:r w:rsidR="008C7B02">
                        <w:rPr>
                          <w:b/>
                          <w:color w:val="FFFFFF" w:themeColor="background1"/>
                          <w:sz w:val="36"/>
                        </w:rPr>
                        <w:t>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B02">
        <w:rPr>
          <w:b/>
          <w:color w:val="DB1F26"/>
          <w:spacing w:val="-7"/>
          <w:sz w:val="52"/>
        </w:rPr>
        <w:t xml:space="preserve">   </w:t>
      </w:r>
    </w:p>
    <w:p w14:paraId="3788F9F9" w14:textId="2F1E7560" w:rsidR="00906E73" w:rsidRPr="00100F6F" w:rsidRDefault="00682A15" w:rsidP="00682A15">
      <w:pPr>
        <w:spacing w:before="208" w:line="199" w:lineRule="auto"/>
        <w:ind w:left="851" w:right="853"/>
        <w:rPr>
          <w:b/>
          <w:color w:val="DB1F26"/>
          <w:spacing w:val="-7"/>
          <w:sz w:val="24"/>
        </w:rPr>
      </w:pPr>
      <w:r>
        <w:rPr>
          <w:b/>
          <w:color w:val="DB1F26"/>
          <w:spacing w:val="-7"/>
          <w:sz w:val="52"/>
        </w:rPr>
        <w:t>Hearing</w:t>
      </w:r>
      <w:r w:rsidR="00485A29">
        <w:rPr>
          <w:b/>
          <w:color w:val="DB1F26"/>
          <w:spacing w:val="-7"/>
          <w:sz w:val="52"/>
        </w:rPr>
        <w:t xml:space="preserve"> </w:t>
      </w:r>
      <w:r w:rsidR="00100F6F">
        <w:rPr>
          <w:b/>
          <w:color w:val="DB1F26"/>
          <w:spacing w:val="-9"/>
          <w:sz w:val="52"/>
        </w:rPr>
        <w:t>Impairment Support</w:t>
      </w:r>
      <w:r w:rsidR="00162AC1" w:rsidRPr="00162AC1">
        <w:rPr>
          <w:noProof/>
        </w:rPr>
        <w:t xml:space="preserve"> </w:t>
      </w:r>
    </w:p>
    <w:p w14:paraId="1CEA8E11" w14:textId="352E0A0B" w:rsidR="00906E73" w:rsidRPr="00682A15" w:rsidRDefault="00485A29" w:rsidP="00682A15">
      <w:pPr>
        <w:spacing w:before="128"/>
        <w:ind w:left="851" w:right="853"/>
        <w:rPr>
          <w:sz w:val="44"/>
          <w:szCs w:val="44"/>
        </w:rPr>
      </w:pPr>
      <w:r w:rsidRPr="00682A15">
        <w:rPr>
          <w:spacing w:val="-11"/>
          <w:sz w:val="44"/>
          <w:szCs w:val="44"/>
        </w:rPr>
        <w:t>Guidance</w:t>
      </w:r>
      <w:r w:rsidRPr="00682A15">
        <w:rPr>
          <w:spacing w:val="-68"/>
          <w:sz w:val="44"/>
          <w:szCs w:val="44"/>
        </w:rPr>
        <w:t xml:space="preserve"> </w:t>
      </w:r>
      <w:r w:rsidRPr="00682A15">
        <w:rPr>
          <w:spacing w:val="-13"/>
          <w:sz w:val="44"/>
          <w:szCs w:val="44"/>
        </w:rPr>
        <w:t>relating</w:t>
      </w:r>
      <w:r w:rsidRPr="00682A15">
        <w:rPr>
          <w:spacing w:val="-68"/>
          <w:sz w:val="44"/>
          <w:szCs w:val="44"/>
        </w:rPr>
        <w:t xml:space="preserve"> </w:t>
      </w:r>
      <w:r w:rsidRPr="00682A15">
        <w:rPr>
          <w:spacing w:val="-13"/>
          <w:sz w:val="44"/>
          <w:szCs w:val="44"/>
        </w:rPr>
        <w:t>to</w:t>
      </w:r>
      <w:r w:rsidRPr="00682A15">
        <w:rPr>
          <w:spacing w:val="-68"/>
          <w:sz w:val="44"/>
          <w:szCs w:val="44"/>
        </w:rPr>
        <w:t xml:space="preserve"> </w:t>
      </w:r>
      <w:r w:rsidR="00805546">
        <w:rPr>
          <w:spacing w:val="-12"/>
          <w:sz w:val="44"/>
          <w:szCs w:val="44"/>
        </w:rPr>
        <w:t>the management of glue ear in the classroom.</w:t>
      </w:r>
    </w:p>
    <w:p w14:paraId="6D58D606" w14:textId="77777777" w:rsidR="00906E73" w:rsidRPr="00485A29" w:rsidRDefault="00906E73" w:rsidP="00682A15">
      <w:pPr>
        <w:pStyle w:val="BodyText"/>
        <w:ind w:left="851" w:right="853"/>
        <w:rPr>
          <w:sz w:val="20"/>
        </w:rPr>
      </w:pPr>
    </w:p>
    <w:p w14:paraId="1849A987" w14:textId="40EFC4DB" w:rsidR="00906E73" w:rsidRPr="00485A29" w:rsidRDefault="00485A29" w:rsidP="00682A15">
      <w:pPr>
        <w:pStyle w:val="BodyText"/>
        <w:spacing w:after="240" w:line="242" w:lineRule="auto"/>
        <w:ind w:left="851" w:right="853"/>
      </w:pPr>
      <w:r w:rsidRPr="00485A29">
        <w:rPr>
          <w:spacing w:val="-5"/>
        </w:rPr>
        <w:t xml:space="preserve">This </w:t>
      </w:r>
      <w:r w:rsidR="00162AC1">
        <w:rPr>
          <w:spacing w:val="-5"/>
        </w:rPr>
        <w:t>information</w:t>
      </w:r>
      <w:r w:rsidRPr="00485A29">
        <w:rPr>
          <w:spacing w:val="-5"/>
        </w:rPr>
        <w:t xml:space="preserve"> </w:t>
      </w:r>
      <w:r w:rsidR="00805546" w:rsidRPr="00805546">
        <w:rPr>
          <w:spacing w:val="-6"/>
        </w:rPr>
        <w:t>provides guidance to schools on supporting children in school, who have glue ear.</w:t>
      </w:r>
    </w:p>
    <w:p w14:paraId="79B6A3D1" w14:textId="061D4F69" w:rsidR="00682A15" w:rsidRPr="0071281D" w:rsidRDefault="00682A15" w:rsidP="00682A15">
      <w:pPr>
        <w:spacing w:after="240" w:line="259" w:lineRule="auto"/>
        <w:ind w:left="851" w:right="853"/>
        <w:rPr>
          <w:b/>
          <w:sz w:val="28"/>
          <w:szCs w:val="28"/>
        </w:rPr>
      </w:pPr>
      <w:r w:rsidRPr="0071281D">
        <w:rPr>
          <w:b/>
          <w:sz w:val="28"/>
          <w:szCs w:val="28"/>
        </w:rPr>
        <w:t xml:space="preserve">What is </w:t>
      </w:r>
      <w:r w:rsidR="00805546">
        <w:rPr>
          <w:b/>
          <w:sz w:val="28"/>
          <w:szCs w:val="28"/>
        </w:rPr>
        <w:t>glue ear</w:t>
      </w:r>
      <w:r w:rsidRPr="0071281D">
        <w:rPr>
          <w:b/>
          <w:sz w:val="28"/>
          <w:szCs w:val="28"/>
        </w:rPr>
        <w:t>?</w:t>
      </w:r>
    </w:p>
    <w:p w14:paraId="19CF4DF1" w14:textId="77777777" w:rsidR="00805546" w:rsidRPr="00805546" w:rsidRDefault="00805546" w:rsidP="00805546">
      <w:pPr>
        <w:spacing w:after="240"/>
        <w:ind w:left="851" w:right="853"/>
        <w:rPr>
          <w:sz w:val="24"/>
          <w:szCs w:val="24"/>
        </w:rPr>
      </w:pPr>
      <w:r w:rsidRPr="00805546">
        <w:rPr>
          <w:sz w:val="24"/>
          <w:szCs w:val="24"/>
        </w:rPr>
        <w:t>Research indicates that 1 in 4 pupils are affected by a mild hearing loss at any one time during their early school years due to glue ear.</w:t>
      </w:r>
    </w:p>
    <w:p w14:paraId="40EDD737" w14:textId="77777777" w:rsidR="00805546" w:rsidRPr="00805546" w:rsidRDefault="00805546" w:rsidP="00805546">
      <w:pPr>
        <w:spacing w:after="240"/>
        <w:ind w:left="851" w:right="853"/>
        <w:rPr>
          <w:sz w:val="24"/>
          <w:szCs w:val="24"/>
        </w:rPr>
      </w:pPr>
      <w:r w:rsidRPr="00805546">
        <w:rPr>
          <w:sz w:val="24"/>
          <w:szCs w:val="24"/>
        </w:rPr>
        <w:t>Typically, hearing thresholds fluctuate with this type of hearing loss with sufferers having good day and bad days.</w:t>
      </w:r>
    </w:p>
    <w:p w14:paraId="7F662973" w14:textId="77777777" w:rsidR="00805546" w:rsidRPr="00805546" w:rsidRDefault="00805546" w:rsidP="00805546">
      <w:pPr>
        <w:spacing w:after="240"/>
        <w:ind w:left="851" w:right="853"/>
        <w:rPr>
          <w:sz w:val="24"/>
          <w:szCs w:val="24"/>
        </w:rPr>
      </w:pPr>
      <w:r w:rsidRPr="00805546">
        <w:rPr>
          <w:sz w:val="24"/>
          <w:szCs w:val="24"/>
        </w:rPr>
        <w:t>Pupils with glue ear will often:</w:t>
      </w:r>
    </w:p>
    <w:p w14:paraId="0D512421" w14:textId="77777777" w:rsidR="00805546" w:rsidRPr="00805546" w:rsidRDefault="00805546" w:rsidP="00805546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Have problems responding to a quiet voice</w:t>
      </w:r>
    </w:p>
    <w:p w14:paraId="7CE3C97F" w14:textId="77777777" w:rsidR="00805546" w:rsidRPr="00805546" w:rsidRDefault="00805546" w:rsidP="00805546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Have problems locating the source of sound</w:t>
      </w:r>
    </w:p>
    <w:p w14:paraId="49B6003A" w14:textId="77777777" w:rsidR="00805546" w:rsidRPr="00805546" w:rsidRDefault="00805546" w:rsidP="00805546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Have problems hearing in background noise</w:t>
      </w:r>
    </w:p>
    <w:p w14:paraId="66338AE8" w14:textId="77777777" w:rsidR="00805546" w:rsidRPr="00805546" w:rsidRDefault="00805546" w:rsidP="00805546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Have a deterioration in hearing levels when they suffer from a cold</w:t>
      </w:r>
    </w:p>
    <w:p w14:paraId="6264DE51" w14:textId="77777777" w:rsidR="00805546" w:rsidRPr="00805546" w:rsidRDefault="00805546" w:rsidP="00805546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Have problems hearing in poor acoustic conditions e.g. assembly hall, dining room</w:t>
      </w:r>
    </w:p>
    <w:p w14:paraId="52B1A2D0" w14:textId="77777777" w:rsidR="00805546" w:rsidRPr="00805546" w:rsidRDefault="00805546" w:rsidP="00805546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Have difficulty with phonic work</w:t>
      </w:r>
    </w:p>
    <w:p w14:paraId="03BFFA28" w14:textId="77777777" w:rsidR="00805546" w:rsidRPr="00805546" w:rsidRDefault="00805546" w:rsidP="00805546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Have problems maintaining concentration when hearing deteriora</w:t>
      </w:r>
    </w:p>
    <w:p w14:paraId="6EA2F234" w14:textId="77777777" w:rsidR="00805546" w:rsidRDefault="00805546" w:rsidP="00805546">
      <w:pPr>
        <w:spacing w:after="240"/>
        <w:ind w:left="851" w:right="853"/>
        <w:rPr>
          <w:sz w:val="24"/>
          <w:szCs w:val="24"/>
        </w:rPr>
      </w:pPr>
    </w:p>
    <w:p w14:paraId="76EC75EB" w14:textId="54AC3CBD" w:rsidR="00805546" w:rsidRPr="00805546" w:rsidRDefault="00805546" w:rsidP="00805546">
      <w:pPr>
        <w:spacing w:before="240"/>
        <w:ind w:left="851" w:right="853"/>
        <w:rPr>
          <w:b/>
          <w:bCs/>
          <w:sz w:val="24"/>
          <w:szCs w:val="24"/>
        </w:rPr>
      </w:pPr>
      <w:r w:rsidRPr="00805546">
        <w:rPr>
          <w:b/>
          <w:bCs/>
          <w:sz w:val="24"/>
          <w:szCs w:val="24"/>
        </w:rPr>
        <w:t>How you can help</w:t>
      </w:r>
    </w:p>
    <w:p w14:paraId="6874AAB6" w14:textId="77777777" w:rsidR="00805546" w:rsidRPr="00805546" w:rsidRDefault="00805546" w:rsidP="00805546">
      <w:pPr>
        <w:spacing w:before="240"/>
        <w:ind w:left="851" w:right="853"/>
        <w:rPr>
          <w:b/>
          <w:bCs/>
          <w:sz w:val="24"/>
          <w:szCs w:val="24"/>
        </w:rPr>
      </w:pPr>
      <w:r w:rsidRPr="00805546">
        <w:rPr>
          <w:b/>
          <w:bCs/>
          <w:sz w:val="24"/>
          <w:szCs w:val="24"/>
        </w:rPr>
        <w:t>School staff</w:t>
      </w:r>
    </w:p>
    <w:p w14:paraId="5EC5E926" w14:textId="77777777" w:rsidR="00805546" w:rsidRPr="00805546" w:rsidRDefault="00805546" w:rsidP="00805546">
      <w:pPr>
        <w:pStyle w:val="ListParagraph"/>
        <w:numPr>
          <w:ilvl w:val="0"/>
          <w:numId w:val="4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Face pupils when addressing them - giving instructions when writing on the board may mean that hearing impaired pupils will miss what you have said</w:t>
      </w:r>
    </w:p>
    <w:p w14:paraId="698E3942" w14:textId="7B4C5352" w:rsidR="00805546" w:rsidRPr="00805546" w:rsidRDefault="00805546" w:rsidP="00805546">
      <w:pPr>
        <w:pStyle w:val="ListParagraph"/>
        <w:numPr>
          <w:ilvl w:val="0"/>
          <w:numId w:val="4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Ensure that you are within 3 metres of the pupil when addressing them. This allows pupils to make best use of their hearing and to gain maximum benefit of lip-reading cues</w:t>
      </w:r>
    </w:p>
    <w:p w14:paraId="10378CBE" w14:textId="3A256E25" w:rsidR="00805546" w:rsidRPr="00805546" w:rsidRDefault="00805546" w:rsidP="00805546">
      <w:pPr>
        <w:pStyle w:val="ListParagraph"/>
        <w:numPr>
          <w:ilvl w:val="0"/>
          <w:numId w:val="4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Try to stay in one place when teaching especially if pupil is having to take notes. It is difficult to lip-read a moving target!</w:t>
      </w:r>
    </w:p>
    <w:p w14:paraId="3E1F20DA" w14:textId="48FF56EF" w:rsidR="00805546" w:rsidRPr="00805546" w:rsidRDefault="00805546" w:rsidP="00805546">
      <w:pPr>
        <w:pStyle w:val="ListParagraph"/>
        <w:numPr>
          <w:ilvl w:val="0"/>
          <w:numId w:val="4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 xml:space="preserve">Avoid standing in front of a window or bright light as this creates problems for pupils </w:t>
      </w:r>
      <w:r w:rsidRPr="00805546">
        <w:rPr>
          <w:sz w:val="24"/>
          <w:szCs w:val="24"/>
        </w:rPr>
        <w:lastRenderedPageBreak/>
        <w:t>trying to lip read</w:t>
      </w:r>
    </w:p>
    <w:p w14:paraId="4B3C1E24" w14:textId="77777777" w:rsidR="00805546" w:rsidRPr="00805546" w:rsidRDefault="00805546" w:rsidP="00805546">
      <w:pPr>
        <w:pStyle w:val="ListParagraph"/>
        <w:numPr>
          <w:ilvl w:val="0"/>
          <w:numId w:val="4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Keep background noise to a minimum as this will improve speech perception for the hearing impaired pupil.</w:t>
      </w:r>
    </w:p>
    <w:p w14:paraId="5C5D27D7" w14:textId="77777777" w:rsidR="00805546" w:rsidRPr="00805546" w:rsidRDefault="00805546" w:rsidP="00805546">
      <w:pPr>
        <w:pStyle w:val="ListParagraph"/>
        <w:numPr>
          <w:ilvl w:val="0"/>
          <w:numId w:val="4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Say their name - get them looking and concentrating on you before you speak.</w:t>
      </w:r>
    </w:p>
    <w:p w14:paraId="7CCE37FF" w14:textId="77777777" w:rsidR="00805546" w:rsidRPr="00805546" w:rsidRDefault="00805546" w:rsidP="00805546">
      <w:pPr>
        <w:pStyle w:val="ListParagraph"/>
        <w:numPr>
          <w:ilvl w:val="0"/>
          <w:numId w:val="4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Ask your Teacher of the Deaf for advice on developing listening skills</w:t>
      </w:r>
    </w:p>
    <w:p w14:paraId="0E472A20" w14:textId="77777777" w:rsidR="00805546" w:rsidRPr="00805546" w:rsidRDefault="00805546" w:rsidP="00805546">
      <w:pPr>
        <w:pStyle w:val="ListParagraph"/>
        <w:numPr>
          <w:ilvl w:val="0"/>
          <w:numId w:val="4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Check understanding</w:t>
      </w:r>
    </w:p>
    <w:p w14:paraId="5B27C419" w14:textId="77777777" w:rsidR="00805546" w:rsidRPr="00805546" w:rsidRDefault="00805546" w:rsidP="00805546">
      <w:pPr>
        <w:pStyle w:val="ListParagraph"/>
        <w:numPr>
          <w:ilvl w:val="0"/>
          <w:numId w:val="4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Provide visual cues to aid understanding particularly when introducing new topics.</w:t>
      </w:r>
    </w:p>
    <w:p w14:paraId="337B62BF" w14:textId="77777777" w:rsidR="00805546" w:rsidRDefault="00805546" w:rsidP="00805546">
      <w:pPr>
        <w:spacing w:after="240"/>
        <w:ind w:left="851" w:right="853"/>
        <w:rPr>
          <w:sz w:val="24"/>
          <w:szCs w:val="24"/>
        </w:rPr>
      </w:pPr>
    </w:p>
    <w:p w14:paraId="1F9ACEF2" w14:textId="06B6F255" w:rsidR="00805546" w:rsidRPr="00805546" w:rsidRDefault="00805546" w:rsidP="00805546">
      <w:pPr>
        <w:spacing w:after="240"/>
        <w:ind w:left="851" w:right="853"/>
        <w:rPr>
          <w:b/>
          <w:bCs/>
          <w:sz w:val="24"/>
          <w:szCs w:val="24"/>
        </w:rPr>
      </w:pPr>
      <w:r w:rsidRPr="00805546">
        <w:rPr>
          <w:b/>
          <w:bCs/>
          <w:sz w:val="24"/>
          <w:szCs w:val="24"/>
        </w:rPr>
        <w:t>Pupils</w:t>
      </w:r>
    </w:p>
    <w:p w14:paraId="1101E7EB" w14:textId="77777777" w:rsidR="00805546" w:rsidRPr="00805546" w:rsidRDefault="00805546" w:rsidP="00805546">
      <w:pPr>
        <w:pStyle w:val="ListParagraph"/>
        <w:numPr>
          <w:ilvl w:val="0"/>
          <w:numId w:val="5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The hearing impaired pupil should be seated:</w:t>
      </w:r>
    </w:p>
    <w:p w14:paraId="112AD939" w14:textId="77777777" w:rsidR="00805546" w:rsidRPr="00805546" w:rsidRDefault="00805546" w:rsidP="00805546">
      <w:pPr>
        <w:pStyle w:val="ListParagraph"/>
        <w:numPr>
          <w:ilvl w:val="0"/>
          <w:numId w:val="5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Within 3 metres of the speaker</w:t>
      </w:r>
    </w:p>
    <w:p w14:paraId="33DC11AF" w14:textId="77777777" w:rsidR="00805546" w:rsidRPr="00805546" w:rsidRDefault="00805546" w:rsidP="00805546">
      <w:pPr>
        <w:pStyle w:val="ListParagraph"/>
        <w:numPr>
          <w:ilvl w:val="0"/>
          <w:numId w:val="5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To see the remainder of his/her group</w:t>
      </w:r>
    </w:p>
    <w:p w14:paraId="1C9F4656" w14:textId="77777777" w:rsidR="00805546" w:rsidRPr="00805546" w:rsidRDefault="00805546" w:rsidP="00805546">
      <w:pPr>
        <w:pStyle w:val="ListParagraph"/>
        <w:numPr>
          <w:ilvl w:val="0"/>
          <w:numId w:val="5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Where it is easy to see the speaker</w:t>
      </w:r>
    </w:p>
    <w:p w14:paraId="255A09F7" w14:textId="67F4637D" w:rsidR="00805546" w:rsidRDefault="00805546" w:rsidP="00805546">
      <w:pPr>
        <w:pStyle w:val="ListParagraph"/>
        <w:numPr>
          <w:ilvl w:val="0"/>
          <w:numId w:val="5"/>
        </w:numPr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With his/her back to the light</w:t>
      </w:r>
    </w:p>
    <w:p w14:paraId="2599ACB2" w14:textId="77777777" w:rsidR="00805546" w:rsidRPr="00805546" w:rsidRDefault="00805546" w:rsidP="00805546">
      <w:pPr>
        <w:pStyle w:val="ListParagraph"/>
        <w:ind w:left="1571" w:right="853" w:firstLine="0"/>
        <w:rPr>
          <w:sz w:val="24"/>
          <w:szCs w:val="24"/>
        </w:rPr>
      </w:pPr>
    </w:p>
    <w:p w14:paraId="0A3D0F77" w14:textId="77777777" w:rsidR="00805546" w:rsidRPr="00805546" w:rsidRDefault="00805546" w:rsidP="00805546">
      <w:pPr>
        <w:spacing w:after="240"/>
        <w:ind w:left="851" w:right="853"/>
        <w:rPr>
          <w:b/>
          <w:bCs/>
          <w:sz w:val="24"/>
          <w:szCs w:val="24"/>
        </w:rPr>
      </w:pPr>
      <w:r w:rsidRPr="00805546">
        <w:rPr>
          <w:b/>
          <w:bCs/>
          <w:sz w:val="24"/>
          <w:szCs w:val="24"/>
        </w:rPr>
        <w:t>Background noise and poor acoustics</w:t>
      </w:r>
    </w:p>
    <w:p w14:paraId="63870DB0" w14:textId="77777777" w:rsidR="00805546" w:rsidRPr="00805546" w:rsidRDefault="00805546" w:rsidP="00805546">
      <w:pPr>
        <w:spacing w:after="240"/>
        <w:ind w:left="851" w:right="853"/>
        <w:rPr>
          <w:sz w:val="24"/>
          <w:szCs w:val="24"/>
        </w:rPr>
      </w:pPr>
      <w:r w:rsidRPr="00805546">
        <w:rPr>
          <w:sz w:val="24"/>
          <w:szCs w:val="24"/>
        </w:rPr>
        <w:t>All hearing aid wearers will have difficulty with speech perception in background noise in the following environments</w:t>
      </w:r>
    </w:p>
    <w:p w14:paraId="4F250163" w14:textId="77777777" w:rsidR="00805546" w:rsidRPr="00805546" w:rsidRDefault="00805546" w:rsidP="00805546">
      <w:pPr>
        <w:pStyle w:val="ListParagraph"/>
        <w:numPr>
          <w:ilvl w:val="0"/>
          <w:numId w:val="6"/>
        </w:numPr>
        <w:spacing w:before="240"/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Rooms with high ceilings</w:t>
      </w:r>
    </w:p>
    <w:p w14:paraId="59B314BF" w14:textId="77777777" w:rsidR="00805546" w:rsidRPr="00805546" w:rsidRDefault="00805546" w:rsidP="00805546">
      <w:pPr>
        <w:pStyle w:val="ListParagraph"/>
        <w:numPr>
          <w:ilvl w:val="0"/>
          <w:numId w:val="6"/>
        </w:numPr>
        <w:spacing w:before="240"/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Rooms / areas without carpets or soft furnishings</w:t>
      </w:r>
    </w:p>
    <w:p w14:paraId="462FBECD" w14:textId="77777777" w:rsidR="00805546" w:rsidRPr="00805546" w:rsidRDefault="00805546" w:rsidP="00805546">
      <w:pPr>
        <w:pStyle w:val="ListParagraph"/>
        <w:numPr>
          <w:ilvl w:val="0"/>
          <w:numId w:val="6"/>
        </w:numPr>
        <w:spacing w:before="240"/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Tiled, sparsely furnished rooms</w:t>
      </w:r>
    </w:p>
    <w:p w14:paraId="30B78907" w14:textId="77777777" w:rsidR="00805546" w:rsidRPr="00805546" w:rsidRDefault="00805546" w:rsidP="00805546">
      <w:pPr>
        <w:pStyle w:val="ListParagraph"/>
        <w:numPr>
          <w:ilvl w:val="0"/>
          <w:numId w:val="6"/>
        </w:numPr>
        <w:spacing w:before="240"/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Halls, gymnasiums, dining rooms</w:t>
      </w:r>
    </w:p>
    <w:p w14:paraId="0C10A11F" w14:textId="77777777" w:rsidR="00805546" w:rsidRPr="00805546" w:rsidRDefault="00805546" w:rsidP="00805546">
      <w:pPr>
        <w:pStyle w:val="ListParagraph"/>
        <w:numPr>
          <w:ilvl w:val="0"/>
          <w:numId w:val="6"/>
        </w:numPr>
        <w:spacing w:before="240"/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Rooms with a high proportion of glass</w:t>
      </w:r>
    </w:p>
    <w:p w14:paraId="7501D1FD" w14:textId="77777777" w:rsidR="00805546" w:rsidRPr="00805546" w:rsidRDefault="00805546" w:rsidP="00805546">
      <w:pPr>
        <w:pStyle w:val="ListParagraph"/>
        <w:numPr>
          <w:ilvl w:val="0"/>
          <w:numId w:val="6"/>
        </w:numPr>
        <w:spacing w:before="240"/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Open plan areas</w:t>
      </w:r>
    </w:p>
    <w:p w14:paraId="61E1CBCC" w14:textId="71334E62" w:rsidR="00805546" w:rsidRDefault="00805546" w:rsidP="00805546">
      <w:pPr>
        <w:pStyle w:val="ListParagraph"/>
        <w:numPr>
          <w:ilvl w:val="0"/>
          <w:numId w:val="6"/>
        </w:numPr>
        <w:spacing w:before="240"/>
        <w:ind w:right="853"/>
        <w:rPr>
          <w:sz w:val="24"/>
          <w:szCs w:val="24"/>
        </w:rPr>
      </w:pPr>
      <w:r w:rsidRPr="00805546">
        <w:rPr>
          <w:sz w:val="24"/>
          <w:szCs w:val="24"/>
        </w:rPr>
        <w:t>Seats near doors, printers, ‘busy areas’</w:t>
      </w:r>
    </w:p>
    <w:p w14:paraId="58530B0C" w14:textId="77777777" w:rsidR="00805546" w:rsidRPr="00805546" w:rsidRDefault="00805546" w:rsidP="00805546">
      <w:pPr>
        <w:pStyle w:val="ListParagraph"/>
        <w:spacing w:before="240"/>
        <w:ind w:left="1571" w:right="853" w:firstLine="0"/>
        <w:rPr>
          <w:sz w:val="24"/>
          <w:szCs w:val="24"/>
        </w:rPr>
      </w:pPr>
    </w:p>
    <w:p w14:paraId="2E5438BD" w14:textId="77777777" w:rsidR="00805546" w:rsidRPr="00805546" w:rsidRDefault="00805546" w:rsidP="00805546">
      <w:pPr>
        <w:spacing w:after="240"/>
        <w:ind w:left="851" w:right="853"/>
        <w:rPr>
          <w:sz w:val="24"/>
          <w:szCs w:val="24"/>
        </w:rPr>
      </w:pPr>
      <w:r w:rsidRPr="00805546">
        <w:rPr>
          <w:sz w:val="24"/>
          <w:szCs w:val="24"/>
        </w:rPr>
        <w:t>The hearing impairment service delivers training sessions ‘Managing Mild Hearing Loss’ for Teachers and Teaching Assistants. Please contact us for further details.</w:t>
      </w:r>
    </w:p>
    <w:sectPr w:rsidR="00805546" w:rsidRPr="00805546" w:rsidSect="00100F6F">
      <w:headerReference w:type="default" r:id="rId7"/>
      <w:footerReference w:type="default" r:id="rId8"/>
      <w:pgSz w:w="11910" w:h="16840"/>
      <w:pgMar w:top="851" w:right="0" w:bottom="1134" w:left="0" w:header="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2AB1F" w14:textId="77777777" w:rsidR="001B3FF9" w:rsidRDefault="001B3FF9">
      <w:r>
        <w:separator/>
      </w:r>
    </w:p>
  </w:endnote>
  <w:endnote w:type="continuationSeparator" w:id="0">
    <w:p w14:paraId="481A750F" w14:textId="77777777" w:rsidR="001B3FF9" w:rsidRDefault="001B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3A0B7" w14:textId="77777777" w:rsidR="00906E73" w:rsidRDefault="00906E7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727AE" w14:textId="77777777" w:rsidR="001B3FF9" w:rsidRDefault="001B3FF9">
      <w:r>
        <w:separator/>
      </w:r>
    </w:p>
  </w:footnote>
  <w:footnote w:type="continuationSeparator" w:id="0">
    <w:p w14:paraId="280B444D" w14:textId="77777777" w:rsidR="001B3FF9" w:rsidRDefault="001B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295" w14:textId="3429384E" w:rsidR="00100F6F" w:rsidRDefault="00100F6F">
    <w:pPr>
      <w:pStyle w:val="Header"/>
    </w:pPr>
    <w:r>
      <w:rPr>
        <w:noProof/>
        <w:color w:val="2962FF"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2C61C4E1" wp14:editId="00EE114D">
          <wp:simplePos x="0" y="0"/>
          <wp:positionH relativeFrom="margin">
            <wp:posOffset>-1</wp:posOffset>
          </wp:positionH>
          <wp:positionV relativeFrom="paragraph">
            <wp:posOffset>163773</wp:posOffset>
          </wp:positionV>
          <wp:extent cx="7369791" cy="1967867"/>
          <wp:effectExtent l="0" t="0" r="3175" b="0"/>
          <wp:wrapSquare wrapText="bothSides"/>
          <wp:docPr id="11" name="Picture 11" descr="Image result for dudley mbc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udley mbc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202" cy="197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6C0D"/>
    <w:multiLevelType w:val="hybridMultilevel"/>
    <w:tmpl w:val="0A3E63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874316"/>
    <w:multiLevelType w:val="hybridMultilevel"/>
    <w:tmpl w:val="C920614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1303F6"/>
    <w:multiLevelType w:val="hybridMultilevel"/>
    <w:tmpl w:val="4344DAEC"/>
    <w:lvl w:ilvl="0" w:tplc="1292CF54">
      <w:start w:val="1"/>
      <w:numFmt w:val="decimal"/>
      <w:lvlText w:val="%1."/>
      <w:lvlJc w:val="left"/>
      <w:pPr>
        <w:ind w:left="1020" w:hanging="454"/>
      </w:pPr>
      <w:rPr>
        <w:rFonts w:ascii="Arial" w:eastAsia="Arial" w:hAnsi="Arial" w:cs="Arial" w:hint="default"/>
        <w:color w:val="auto"/>
        <w:spacing w:val="-22"/>
        <w:w w:val="99"/>
        <w:sz w:val="24"/>
        <w:szCs w:val="24"/>
      </w:rPr>
    </w:lvl>
    <w:lvl w:ilvl="1" w:tplc="535C4A9E">
      <w:numFmt w:val="bullet"/>
      <w:lvlText w:val="•"/>
      <w:lvlJc w:val="left"/>
      <w:pPr>
        <w:ind w:left="2108" w:hanging="454"/>
      </w:pPr>
      <w:rPr>
        <w:rFonts w:hint="default"/>
      </w:rPr>
    </w:lvl>
    <w:lvl w:ilvl="2" w:tplc="12FE1EB8">
      <w:numFmt w:val="bullet"/>
      <w:lvlText w:val="•"/>
      <w:lvlJc w:val="left"/>
      <w:pPr>
        <w:ind w:left="3197" w:hanging="454"/>
      </w:pPr>
      <w:rPr>
        <w:rFonts w:hint="default"/>
      </w:rPr>
    </w:lvl>
    <w:lvl w:ilvl="3" w:tplc="DB46A8E8">
      <w:numFmt w:val="bullet"/>
      <w:lvlText w:val="•"/>
      <w:lvlJc w:val="left"/>
      <w:pPr>
        <w:ind w:left="4285" w:hanging="454"/>
      </w:pPr>
      <w:rPr>
        <w:rFonts w:hint="default"/>
      </w:rPr>
    </w:lvl>
    <w:lvl w:ilvl="4" w:tplc="7FFEBD5C">
      <w:numFmt w:val="bullet"/>
      <w:lvlText w:val="•"/>
      <w:lvlJc w:val="left"/>
      <w:pPr>
        <w:ind w:left="5374" w:hanging="454"/>
      </w:pPr>
      <w:rPr>
        <w:rFonts w:hint="default"/>
      </w:rPr>
    </w:lvl>
    <w:lvl w:ilvl="5" w:tplc="158618C0">
      <w:numFmt w:val="bullet"/>
      <w:lvlText w:val="•"/>
      <w:lvlJc w:val="left"/>
      <w:pPr>
        <w:ind w:left="6462" w:hanging="454"/>
      </w:pPr>
      <w:rPr>
        <w:rFonts w:hint="default"/>
      </w:rPr>
    </w:lvl>
    <w:lvl w:ilvl="6" w:tplc="DB528390">
      <w:numFmt w:val="bullet"/>
      <w:lvlText w:val="•"/>
      <w:lvlJc w:val="left"/>
      <w:pPr>
        <w:ind w:left="7551" w:hanging="454"/>
      </w:pPr>
      <w:rPr>
        <w:rFonts w:hint="default"/>
      </w:rPr>
    </w:lvl>
    <w:lvl w:ilvl="7" w:tplc="AEE2A8A4">
      <w:numFmt w:val="bullet"/>
      <w:lvlText w:val="•"/>
      <w:lvlJc w:val="left"/>
      <w:pPr>
        <w:ind w:left="8639" w:hanging="454"/>
      </w:pPr>
      <w:rPr>
        <w:rFonts w:hint="default"/>
      </w:rPr>
    </w:lvl>
    <w:lvl w:ilvl="8" w:tplc="1FD8E2EE">
      <w:numFmt w:val="bullet"/>
      <w:lvlText w:val="•"/>
      <w:lvlJc w:val="left"/>
      <w:pPr>
        <w:ind w:left="9728" w:hanging="454"/>
      </w:pPr>
      <w:rPr>
        <w:rFonts w:hint="default"/>
      </w:rPr>
    </w:lvl>
  </w:abstractNum>
  <w:abstractNum w:abstractNumId="3" w15:restartNumberingAfterBreak="0">
    <w:nsid w:val="59404820"/>
    <w:multiLevelType w:val="hybridMultilevel"/>
    <w:tmpl w:val="59301C6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6482373"/>
    <w:multiLevelType w:val="hybridMultilevel"/>
    <w:tmpl w:val="3C06FFD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00C4212"/>
    <w:multiLevelType w:val="hybridMultilevel"/>
    <w:tmpl w:val="C0A05C1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73"/>
    <w:rsid w:val="000059EB"/>
    <w:rsid w:val="00070627"/>
    <w:rsid w:val="00100F6F"/>
    <w:rsid w:val="00104126"/>
    <w:rsid w:val="00162AC1"/>
    <w:rsid w:val="001737BA"/>
    <w:rsid w:val="001B3FF9"/>
    <w:rsid w:val="001D1A75"/>
    <w:rsid w:val="003563FF"/>
    <w:rsid w:val="003D4527"/>
    <w:rsid w:val="00485A29"/>
    <w:rsid w:val="00516611"/>
    <w:rsid w:val="00682A15"/>
    <w:rsid w:val="006B4F7B"/>
    <w:rsid w:val="007B1988"/>
    <w:rsid w:val="00805546"/>
    <w:rsid w:val="008C7B02"/>
    <w:rsid w:val="00906E73"/>
    <w:rsid w:val="00C1653B"/>
    <w:rsid w:val="00C17BC2"/>
    <w:rsid w:val="00D7484D"/>
    <w:rsid w:val="00E714AF"/>
    <w:rsid w:val="00E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A3C38"/>
  <w15:docId w15:val="{2FD4865D-98C0-4778-B783-ECD8D84B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A15"/>
    <w:pPr>
      <w:keepNext/>
      <w:keepLines/>
      <w:widowControl/>
      <w:autoSpaceDE/>
      <w:autoSpaceDN/>
      <w:spacing w:before="40" w:line="251" w:lineRule="auto"/>
      <w:ind w:left="123" w:hanging="1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7" w:line="270" w:lineRule="exact"/>
      <w:ind w:left="1020" w:hanging="4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5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2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B0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7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B02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A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url=https%3A%2F%2Fin-tendhost.co.uk%2Fblackcountryportal%2Faspx%2FTenders%2FCurrent&amp;psig=AOvVaw23nXteWRb-NS25EqkzhkcG&amp;ust=1584624082829000&amp;source=images&amp;cd=vfe&amp;ved=0CAIQjRxqFwoTCJCKj--OpO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VI factsheet - eye patch.indd</vt:lpstr>
    </vt:vector>
  </TitlesOfParts>
  <Company>Dudley MBC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VI factsheet - eye patch.indd</dc:title>
  <dc:creator>Judy Lewis (Education Outcomes)</dc:creator>
  <cp:lastModifiedBy>Lori Arthurs (SEND)</cp:lastModifiedBy>
  <cp:revision>2</cp:revision>
  <cp:lastPrinted>2019-09-04T13:27:00Z</cp:lastPrinted>
  <dcterms:created xsi:type="dcterms:W3CDTF">2021-02-12T16:12:00Z</dcterms:created>
  <dcterms:modified xsi:type="dcterms:W3CDTF">2021-02-12T16:12:00Z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2019-07-17T00:00:00Z</vt:filetime>
  </property>
</Properties>
</file>