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2049080"/>
    <w:bookmarkEnd w:id="0"/>
    <w:p w14:paraId="6E2CB2F0" w14:textId="05720C69" w:rsidR="00100F6F" w:rsidRDefault="00E714AF" w:rsidP="00682A15">
      <w:pPr>
        <w:spacing w:before="208" w:line="199" w:lineRule="auto"/>
        <w:ind w:left="851" w:right="853"/>
        <w:rPr>
          <w:b/>
          <w:color w:val="DB1F26"/>
          <w:spacing w:val="-7"/>
          <w:sz w:val="52"/>
        </w:rPr>
      </w:pPr>
      <w:r>
        <w:rPr>
          <w:b/>
          <w:noProof/>
          <w:color w:val="DB1F26"/>
          <w:spacing w:val="-7"/>
          <w:sz w:val="52"/>
        </w:rPr>
        <mc:AlternateContent>
          <mc:Choice Requires="wps">
            <w:drawing>
              <wp:anchor distT="45720" distB="45720" distL="114300" distR="114300" simplePos="0" relativeHeight="251662848" behindDoc="0" locked="0" layoutInCell="1" allowOverlap="1" wp14:anchorId="12B70905" wp14:editId="1FC2F596">
                <wp:simplePos x="0" y="0"/>
                <wp:positionH relativeFrom="column">
                  <wp:posOffset>268605</wp:posOffset>
                </wp:positionH>
                <wp:positionV relativeFrom="paragraph">
                  <wp:posOffset>1365885</wp:posOffset>
                </wp:positionV>
                <wp:extent cx="4876800" cy="452120"/>
                <wp:effectExtent l="0" t="0" r="1905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2120"/>
                        </a:xfrm>
                        <a:prstGeom prst="rect">
                          <a:avLst/>
                        </a:prstGeom>
                        <a:solidFill>
                          <a:schemeClr val="bg1">
                            <a:lumMod val="50000"/>
                            <a:lumOff val="0"/>
                          </a:schemeClr>
                        </a:solidFill>
                        <a:ln w="9525">
                          <a:solidFill>
                            <a:schemeClr val="bg1">
                              <a:lumMod val="50000"/>
                              <a:lumOff val="0"/>
                            </a:schemeClr>
                          </a:solidFill>
                          <a:miter lim="800000"/>
                          <a:headEnd/>
                          <a:tailEnd/>
                        </a:ln>
                      </wps:spPr>
                      <wps:txbx>
                        <w:txbxContent>
                          <w:p w14:paraId="519492F6" w14:textId="77777777" w:rsidR="008C7B02" w:rsidRPr="003414C5" w:rsidRDefault="008C7B02" w:rsidP="008C7B02">
                            <w:pPr>
                              <w:shd w:val="clear" w:color="auto" w:fill="808080" w:themeFill="background1" w:themeFillShade="80"/>
                              <w:jc w:val="center"/>
                              <w:rPr>
                                <w:b/>
                                <w:color w:val="FFFFFF" w:themeColor="background1"/>
                                <w:sz w:val="4"/>
                                <w:szCs w:val="4"/>
                              </w:rPr>
                            </w:pPr>
                          </w:p>
                          <w:p w14:paraId="4BD6C5A0" w14:textId="0963B4EC" w:rsidR="008C7B02" w:rsidRPr="003414C5" w:rsidRDefault="00162AC1" w:rsidP="008C7B02">
                            <w:pPr>
                              <w:shd w:val="clear" w:color="auto" w:fill="808080" w:themeFill="background1" w:themeFillShade="80"/>
                              <w:jc w:val="center"/>
                              <w:rPr>
                                <w:b/>
                                <w:color w:val="FFFFFF" w:themeColor="background1"/>
                                <w:sz w:val="40"/>
                              </w:rPr>
                            </w:pPr>
                            <w:r>
                              <w:rPr>
                                <w:b/>
                                <w:color w:val="FFFFFF" w:themeColor="background1"/>
                                <w:sz w:val="36"/>
                              </w:rPr>
                              <w:t>Information</w:t>
                            </w:r>
                            <w:r w:rsidR="008C7B02" w:rsidRPr="003414C5">
                              <w:rPr>
                                <w:b/>
                                <w:color w:val="FFFFFF" w:themeColor="background1"/>
                                <w:sz w:val="36"/>
                              </w:rPr>
                              <w:t xml:space="preserve"> for parents</w:t>
                            </w:r>
                            <w:r>
                              <w:rPr>
                                <w:b/>
                                <w:color w:val="FFFFFF" w:themeColor="background1"/>
                                <w:sz w:val="36"/>
                              </w:rPr>
                              <w:t>/</w:t>
                            </w:r>
                            <w:proofErr w:type="spellStart"/>
                            <w:r>
                              <w:rPr>
                                <w:b/>
                                <w:color w:val="FFFFFF" w:themeColor="background1"/>
                                <w:sz w:val="36"/>
                              </w:rPr>
                              <w:t>carers</w:t>
                            </w:r>
                            <w:proofErr w:type="spellEnd"/>
                            <w:r w:rsidR="008C7B02">
                              <w:rPr>
                                <w:b/>
                                <w:color w:val="FFFFFF" w:themeColor="background1"/>
                                <w:sz w:val="36"/>
                              </w:rPr>
                              <w:t xml:space="preserve"> and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B70905" id="_x0000_t202" coordsize="21600,21600" o:spt="202" path="m,l,21600r21600,l21600,xe">
                <v:stroke joinstyle="miter"/>
                <v:path gradientshapeok="t" o:connecttype="rect"/>
              </v:shapetype>
              <v:shape id="Text Box 2" o:spid="_x0000_s1026" type="#_x0000_t202" style="position:absolute;left:0;text-align:left;margin-left:21.15pt;margin-top:107.55pt;width:384pt;height:35.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KvPQIAALwEAAAOAAAAZHJzL2Uyb0RvYy54bWy8VFFv0zAQfkfiP1h+p2mjdu2ipdPoGEIa&#10;A2njB7iOk1jYPmO7Tcqv52y3pcAbQuTBsu/s77677y43t6NWZC+cl2BqOptMKRGGQyNNV9MvLw9v&#10;VpT4wEzDFBhR04Pw9Hb9+tXNYCtRQg+qEY4giPHVYGvah2CrovC8F5r5CVhh0NmC0yzg0XVF49iA&#10;6FoV5XR6VQzgGuuAC+/Rep+ddJ3w21bw8KltvQhE1RS5hbS6tG7jWqxvWNU5ZnvJjzTYX7DQTBoM&#10;eoa6Z4GRnZN/QGnJHXhow4SDLqBtJRcpB8xmNv0tm+eeWZFyweJ4ey6T/3ew/Gn/2RHZ1HRJiWEa&#10;JXoRYyBvYSRlrM5gfYWXni1eCyOaUeWUqbePwL96YmDTM9OJO+dg6AVrkN0sviwunmYcH0G2w0do&#10;MAzbBUhAY+t0LB0WgyA6qnQ4KxOpcDTOV8ur1RRdHH3zRTkrk3QFq06vrfPhvQBN4qamDpVP6Gz/&#10;6ENkw6rTlRjMg5LNg1QqHWK3iY1yZM+wT7ZdzlDtNFLNtsUUv9wtaMaeyuYTi9SvESEF+gVcGTLU&#10;9HpRLnLZ/ltgLQOOlpK6pli6M/0o0TvTpMYPTKq8x/Ioc9QsypQFC+N2PPbAFpoDqucgjxCOPG56&#10;cN8pGXB8auq/7ZgTlKgPBjvgejafx3lLh/liiXoRd+nZXnqY4QhV00BJ3m5CntGddbLrMVJWxMAd&#10;dk0rk6CxvTKrI28ckVT+4zjHGbw8p1s/fzrrHwAAAP//AwBQSwMEFAAGAAgAAAAhAFfwQD/eAAAA&#10;CgEAAA8AAABkcnMvZG93bnJldi54bWxMj8tOwzAQRfdI/IM1SOyoExdKFOJUiNeCBYjCB0zjaRw1&#10;tqPYacLfM6xgOXeO7pyptovrxYnG2AWvIV9lIMg3wXS+1fD1+XxVgIgJvcE+eNLwTRG29flZhaUJ&#10;s/+g0y61gkt8LFGDTWkopYyNJYdxFQbyvDuE0WHicWylGXHmctdLlWUb6bDzfMHiQA+WmuNuchqm&#10;5rGY6UWp98OtjfhkXt/kEbW+vFju70AkWtIfDL/6rA41O+3D5E0UvYZrtWZSg8pvchAMFHnGyZ6T&#10;YrMGWVfy/wv1DwAAAP//AwBQSwECLQAUAAYACAAAACEAtoM4kv4AAADhAQAAEwAAAAAAAAAAAAAA&#10;AAAAAAAAW0NvbnRlbnRfVHlwZXNdLnhtbFBLAQItABQABgAIAAAAIQA4/SH/1gAAAJQBAAALAAAA&#10;AAAAAAAAAAAAAC8BAABfcmVscy8ucmVsc1BLAQItABQABgAIAAAAIQCUP4KvPQIAALwEAAAOAAAA&#10;AAAAAAAAAAAAAC4CAABkcnMvZTJvRG9jLnhtbFBLAQItABQABgAIAAAAIQBX8EA/3gAAAAoBAAAP&#10;AAAAAAAAAAAAAAAAAJcEAABkcnMvZG93bnJldi54bWxQSwUGAAAAAAQABADzAAAAogUAAAAA&#10;" fillcolor="#7f7f7f [1612]" strokecolor="#7f7f7f [1612]">
                <v:textbox>
                  <w:txbxContent>
                    <w:p w14:paraId="519492F6" w14:textId="77777777" w:rsidR="008C7B02" w:rsidRPr="003414C5" w:rsidRDefault="008C7B02" w:rsidP="008C7B02">
                      <w:pPr>
                        <w:shd w:val="clear" w:color="auto" w:fill="808080" w:themeFill="background1" w:themeFillShade="80"/>
                        <w:jc w:val="center"/>
                        <w:rPr>
                          <w:b/>
                          <w:color w:val="FFFFFF" w:themeColor="background1"/>
                          <w:sz w:val="4"/>
                          <w:szCs w:val="4"/>
                        </w:rPr>
                      </w:pPr>
                    </w:p>
                    <w:p w14:paraId="4BD6C5A0" w14:textId="0963B4EC" w:rsidR="008C7B02" w:rsidRPr="003414C5" w:rsidRDefault="00162AC1" w:rsidP="008C7B02">
                      <w:pPr>
                        <w:shd w:val="clear" w:color="auto" w:fill="808080" w:themeFill="background1" w:themeFillShade="80"/>
                        <w:jc w:val="center"/>
                        <w:rPr>
                          <w:b/>
                          <w:color w:val="FFFFFF" w:themeColor="background1"/>
                          <w:sz w:val="40"/>
                        </w:rPr>
                      </w:pPr>
                      <w:r>
                        <w:rPr>
                          <w:b/>
                          <w:color w:val="FFFFFF" w:themeColor="background1"/>
                          <w:sz w:val="36"/>
                        </w:rPr>
                        <w:t>Information</w:t>
                      </w:r>
                      <w:r w:rsidR="008C7B02" w:rsidRPr="003414C5">
                        <w:rPr>
                          <w:b/>
                          <w:color w:val="FFFFFF" w:themeColor="background1"/>
                          <w:sz w:val="36"/>
                        </w:rPr>
                        <w:t xml:space="preserve"> for parents</w:t>
                      </w:r>
                      <w:r>
                        <w:rPr>
                          <w:b/>
                          <w:color w:val="FFFFFF" w:themeColor="background1"/>
                          <w:sz w:val="36"/>
                        </w:rPr>
                        <w:t>/</w:t>
                      </w:r>
                      <w:proofErr w:type="spellStart"/>
                      <w:r>
                        <w:rPr>
                          <w:b/>
                          <w:color w:val="FFFFFF" w:themeColor="background1"/>
                          <w:sz w:val="36"/>
                        </w:rPr>
                        <w:t>carers</w:t>
                      </w:r>
                      <w:proofErr w:type="spellEnd"/>
                      <w:r w:rsidR="008C7B02">
                        <w:rPr>
                          <w:b/>
                          <w:color w:val="FFFFFF" w:themeColor="background1"/>
                          <w:sz w:val="36"/>
                        </w:rPr>
                        <w:t xml:space="preserve"> and schools</w:t>
                      </w:r>
                    </w:p>
                  </w:txbxContent>
                </v:textbox>
                <w10:wrap type="square"/>
              </v:shape>
            </w:pict>
          </mc:Fallback>
        </mc:AlternateContent>
      </w:r>
      <w:r w:rsidR="008C7B02">
        <w:rPr>
          <w:b/>
          <w:color w:val="DB1F26"/>
          <w:spacing w:val="-7"/>
          <w:sz w:val="52"/>
        </w:rPr>
        <w:t xml:space="preserve">   </w:t>
      </w:r>
    </w:p>
    <w:p w14:paraId="3788F9F9" w14:textId="2F1E7560" w:rsidR="00906E73" w:rsidRPr="00100F6F" w:rsidRDefault="00682A15" w:rsidP="00682A15">
      <w:pPr>
        <w:spacing w:before="208" w:line="199" w:lineRule="auto"/>
        <w:ind w:left="851" w:right="853"/>
        <w:rPr>
          <w:b/>
          <w:color w:val="DB1F26"/>
          <w:spacing w:val="-7"/>
          <w:sz w:val="24"/>
        </w:rPr>
      </w:pPr>
      <w:r>
        <w:rPr>
          <w:b/>
          <w:color w:val="DB1F26"/>
          <w:spacing w:val="-7"/>
          <w:sz w:val="52"/>
        </w:rPr>
        <w:t>Hearing</w:t>
      </w:r>
      <w:r w:rsidR="00485A29">
        <w:rPr>
          <w:b/>
          <w:color w:val="DB1F26"/>
          <w:spacing w:val="-7"/>
          <w:sz w:val="52"/>
        </w:rPr>
        <w:t xml:space="preserve"> </w:t>
      </w:r>
      <w:r w:rsidR="00100F6F">
        <w:rPr>
          <w:b/>
          <w:color w:val="DB1F26"/>
          <w:spacing w:val="-9"/>
          <w:sz w:val="52"/>
        </w:rPr>
        <w:t>Impairment Support</w:t>
      </w:r>
      <w:r w:rsidR="00162AC1" w:rsidRPr="00162AC1">
        <w:rPr>
          <w:noProof/>
        </w:rPr>
        <w:t xml:space="preserve"> </w:t>
      </w:r>
    </w:p>
    <w:p w14:paraId="1CEA8E11" w14:textId="608AF4CD" w:rsidR="00906E73" w:rsidRPr="00682A15" w:rsidRDefault="00485A29" w:rsidP="00682A15">
      <w:pPr>
        <w:spacing w:before="128"/>
        <w:ind w:left="851" w:right="853"/>
        <w:rPr>
          <w:sz w:val="44"/>
          <w:szCs w:val="44"/>
        </w:rPr>
      </w:pPr>
      <w:r w:rsidRPr="00682A15">
        <w:rPr>
          <w:spacing w:val="-11"/>
          <w:sz w:val="44"/>
          <w:szCs w:val="44"/>
        </w:rPr>
        <w:t>Guidance</w:t>
      </w:r>
      <w:r w:rsidRPr="00682A15">
        <w:rPr>
          <w:spacing w:val="-68"/>
          <w:sz w:val="44"/>
          <w:szCs w:val="44"/>
        </w:rPr>
        <w:t xml:space="preserve"> </w:t>
      </w:r>
      <w:r w:rsidRPr="00682A15">
        <w:rPr>
          <w:spacing w:val="-13"/>
          <w:sz w:val="44"/>
          <w:szCs w:val="44"/>
        </w:rPr>
        <w:t>relating</w:t>
      </w:r>
      <w:r w:rsidRPr="00682A15">
        <w:rPr>
          <w:spacing w:val="-68"/>
          <w:sz w:val="44"/>
          <w:szCs w:val="44"/>
        </w:rPr>
        <w:t xml:space="preserve"> </w:t>
      </w:r>
      <w:r w:rsidRPr="00682A15">
        <w:rPr>
          <w:spacing w:val="-13"/>
          <w:sz w:val="44"/>
          <w:szCs w:val="44"/>
        </w:rPr>
        <w:t>to</w:t>
      </w:r>
      <w:r w:rsidRPr="00682A15">
        <w:rPr>
          <w:spacing w:val="-68"/>
          <w:sz w:val="44"/>
          <w:szCs w:val="44"/>
        </w:rPr>
        <w:t xml:space="preserve"> </w:t>
      </w:r>
      <w:r w:rsidR="00682A15" w:rsidRPr="00682A15">
        <w:rPr>
          <w:spacing w:val="-12"/>
          <w:sz w:val="44"/>
          <w:szCs w:val="44"/>
        </w:rPr>
        <w:t>assessment of functional hearing</w:t>
      </w:r>
    </w:p>
    <w:p w14:paraId="6D58D606" w14:textId="77777777" w:rsidR="00906E73" w:rsidRPr="00485A29" w:rsidRDefault="00906E73" w:rsidP="00682A15">
      <w:pPr>
        <w:pStyle w:val="BodyText"/>
        <w:ind w:left="851" w:right="853"/>
        <w:rPr>
          <w:sz w:val="20"/>
        </w:rPr>
      </w:pPr>
    </w:p>
    <w:p w14:paraId="1849A987" w14:textId="529F510E" w:rsidR="00906E73" w:rsidRPr="00485A29" w:rsidRDefault="00485A29" w:rsidP="00682A15">
      <w:pPr>
        <w:pStyle w:val="BodyText"/>
        <w:spacing w:after="240" w:line="242" w:lineRule="auto"/>
        <w:ind w:left="851" w:right="853"/>
      </w:pPr>
      <w:r w:rsidRPr="00485A29">
        <w:rPr>
          <w:spacing w:val="-5"/>
        </w:rPr>
        <w:t xml:space="preserve">This </w:t>
      </w:r>
      <w:r w:rsidR="00162AC1">
        <w:rPr>
          <w:spacing w:val="-5"/>
        </w:rPr>
        <w:t>information</w:t>
      </w:r>
      <w:r w:rsidRPr="00485A29">
        <w:rPr>
          <w:spacing w:val="-5"/>
        </w:rPr>
        <w:t xml:space="preserve"> </w:t>
      </w:r>
      <w:r w:rsidRPr="00485A29">
        <w:rPr>
          <w:spacing w:val="-6"/>
        </w:rPr>
        <w:t>explains</w:t>
      </w:r>
      <w:r w:rsidR="00682A15" w:rsidRPr="0071281D">
        <w:t xml:space="preserve"> to schools, parents and </w:t>
      </w:r>
      <w:proofErr w:type="spellStart"/>
      <w:r w:rsidR="00682A15" w:rsidRPr="0071281D">
        <w:t>carers</w:t>
      </w:r>
      <w:proofErr w:type="spellEnd"/>
      <w:r w:rsidR="00682A15" w:rsidRPr="0071281D">
        <w:t xml:space="preserve"> what a child’s hearing assessment consists of.</w:t>
      </w:r>
    </w:p>
    <w:p w14:paraId="79B6A3D1" w14:textId="229BAF51" w:rsidR="00682A15" w:rsidRPr="0071281D" w:rsidRDefault="00682A15" w:rsidP="00682A15">
      <w:pPr>
        <w:spacing w:after="240" w:line="259" w:lineRule="auto"/>
        <w:ind w:left="851" w:right="853"/>
        <w:rPr>
          <w:b/>
          <w:sz w:val="28"/>
          <w:szCs w:val="28"/>
        </w:rPr>
      </w:pPr>
      <w:r w:rsidRPr="0071281D">
        <w:rPr>
          <w:b/>
          <w:sz w:val="28"/>
          <w:szCs w:val="28"/>
        </w:rPr>
        <w:t xml:space="preserve">What is a </w:t>
      </w:r>
      <w:r>
        <w:rPr>
          <w:b/>
          <w:sz w:val="28"/>
          <w:szCs w:val="28"/>
        </w:rPr>
        <w:t xml:space="preserve">functional </w:t>
      </w:r>
      <w:r w:rsidRPr="0071281D">
        <w:rPr>
          <w:b/>
          <w:sz w:val="28"/>
          <w:szCs w:val="28"/>
        </w:rPr>
        <w:t>hearing assessment?</w:t>
      </w:r>
    </w:p>
    <w:p w14:paraId="6EB77AF7" w14:textId="263B4AEB" w:rsidR="00682A15" w:rsidRDefault="00682A15" w:rsidP="00682A15">
      <w:pPr>
        <w:spacing w:after="240"/>
        <w:ind w:left="851" w:right="853"/>
        <w:rPr>
          <w:sz w:val="24"/>
          <w:szCs w:val="24"/>
        </w:rPr>
      </w:pPr>
      <w:r w:rsidRPr="00682A15">
        <w:rPr>
          <w:sz w:val="24"/>
          <w:szCs w:val="24"/>
        </w:rPr>
        <w:t xml:space="preserve">The aim of a </w:t>
      </w:r>
      <w:r>
        <w:rPr>
          <w:sz w:val="24"/>
          <w:szCs w:val="24"/>
        </w:rPr>
        <w:t xml:space="preserve">functional </w:t>
      </w:r>
      <w:r w:rsidRPr="00682A15">
        <w:rPr>
          <w:sz w:val="24"/>
          <w:szCs w:val="24"/>
        </w:rPr>
        <w:t>hearing assessment is to establish how well a child can hear words and sentences outside of a clinic situation.</w:t>
      </w:r>
    </w:p>
    <w:p w14:paraId="0FF54141" w14:textId="336507F9" w:rsidR="00682A15" w:rsidRDefault="00682A15" w:rsidP="00682A15">
      <w:pPr>
        <w:spacing w:after="240"/>
        <w:ind w:left="851" w:right="853"/>
        <w:rPr>
          <w:sz w:val="24"/>
          <w:szCs w:val="24"/>
        </w:rPr>
      </w:pPr>
      <w:r w:rsidRPr="00682A15">
        <w:rPr>
          <w:sz w:val="24"/>
          <w:szCs w:val="24"/>
        </w:rPr>
        <w:t>To assess your child’s hearing, we use speech tests of hearing. This involves listening to scientifically balanced lists of words and sentences. The tests provide us with information on how well your child can hear different speech sounds.</w:t>
      </w:r>
    </w:p>
    <w:p w14:paraId="4ED52744" w14:textId="77777777" w:rsidR="00682A15" w:rsidRPr="00682A15" w:rsidRDefault="00682A15" w:rsidP="00682A15">
      <w:pPr>
        <w:spacing w:after="240"/>
        <w:ind w:left="851" w:right="853"/>
        <w:rPr>
          <w:sz w:val="24"/>
          <w:szCs w:val="24"/>
        </w:rPr>
      </w:pPr>
      <w:r w:rsidRPr="00682A15">
        <w:rPr>
          <w:sz w:val="24"/>
          <w:szCs w:val="24"/>
        </w:rPr>
        <w:t>We perform the tests at three different voice levels:</w:t>
      </w:r>
    </w:p>
    <w:p w14:paraId="62502E92" w14:textId="77777777" w:rsidR="00682A15" w:rsidRPr="00682A15" w:rsidRDefault="00682A15" w:rsidP="00682A15">
      <w:pPr>
        <w:pStyle w:val="ListParagraph"/>
        <w:numPr>
          <w:ilvl w:val="0"/>
          <w:numId w:val="2"/>
        </w:numPr>
        <w:spacing w:before="0" w:after="240"/>
        <w:ind w:left="851" w:right="853" w:firstLine="0"/>
        <w:rPr>
          <w:sz w:val="24"/>
          <w:szCs w:val="24"/>
        </w:rPr>
      </w:pPr>
      <w:r w:rsidRPr="00682A15">
        <w:rPr>
          <w:sz w:val="24"/>
          <w:szCs w:val="24"/>
        </w:rPr>
        <w:t>Conversational level 60-65 decibels</w:t>
      </w:r>
    </w:p>
    <w:p w14:paraId="39179332" w14:textId="77777777" w:rsidR="00682A15" w:rsidRPr="00682A15" w:rsidRDefault="00682A15" w:rsidP="00682A15">
      <w:pPr>
        <w:pStyle w:val="ListParagraph"/>
        <w:numPr>
          <w:ilvl w:val="0"/>
          <w:numId w:val="2"/>
        </w:numPr>
        <w:spacing w:before="0" w:after="240"/>
        <w:ind w:left="851" w:right="853" w:firstLine="0"/>
        <w:rPr>
          <w:sz w:val="24"/>
          <w:szCs w:val="24"/>
        </w:rPr>
      </w:pPr>
      <w:r w:rsidRPr="00682A15">
        <w:rPr>
          <w:sz w:val="24"/>
          <w:szCs w:val="24"/>
        </w:rPr>
        <w:t>Quiet conversational level 50 decibels</w:t>
      </w:r>
    </w:p>
    <w:p w14:paraId="5876BE2D" w14:textId="46EEBF08" w:rsidR="00682A15" w:rsidRDefault="00682A15" w:rsidP="00682A15">
      <w:pPr>
        <w:pStyle w:val="ListParagraph"/>
        <w:numPr>
          <w:ilvl w:val="0"/>
          <w:numId w:val="2"/>
        </w:numPr>
        <w:spacing w:before="0" w:after="240"/>
        <w:ind w:left="851" w:right="853" w:firstLine="0"/>
        <w:rPr>
          <w:sz w:val="24"/>
          <w:szCs w:val="24"/>
        </w:rPr>
      </w:pPr>
      <w:r w:rsidRPr="00682A15">
        <w:rPr>
          <w:sz w:val="24"/>
          <w:szCs w:val="24"/>
        </w:rPr>
        <w:t>Very quiet conversational level 40 decibels</w:t>
      </w:r>
    </w:p>
    <w:p w14:paraId="4E94A672" w14:textId="3D4046F4" w:rsidR="00682A15" w:rsidRPr="00682A15" w:rsidRDefault="00682A15" w:rsidP="00682A15">
      <w:pPr>
        <w:spacing w:after="240"/>
        <w:ind w:left="851" w:right="853"/>
        <w:rPr>
          <w:sz w:val="24"/>
          <w:szCs w:val="24"/>
        </w:rPr>
      </w:pPr>
      <w:r w:rsidRPr="00682A15">
        <w:rPr>
          <w:sz w:val="24"/>
          <w:szCs w:val="24"/>
        </w:rPr>
        <w:t>We assess the children with and without them being able to see our face so that we can find out how reliant they are upon lip reading and using visual cues.</w:t>
      </w:r>
      <w:r w:rsidR="00C1653B">
        <w:rPr>
          <w:sz w:val="24"/>
          <w:szCs w:val="24"/>
        </w:rPr>
        <w:t xml:space="preserve">  We may also assess their ability to hear in the presence of background noise </w:t>
      </w:r>
      <w:proofErr w:type="gramStart"/>
      <w:r w:rsidR="00C1653B">
        <w:rPr>
          <w:sz w:val="24"/>
          <w:szCs w:val="24"/>
        </w:rPr>
        <w:t>and also</w:t>
      </w:r>
      <w:proofErr w:type="gramEnd"/>
      <w:r w:rsidR="00C1653B">
        <w:rPr>
          <w:sz w:val="24"/>
          <w:szCs w:val="24"/>
        </w:rPr>
        <w:t xml:space="preserve"> with or without an FM system.</w:t>
      </w:r>
    </w:p>
    <w:p w14:paraId="3FCCB4DD" w14:textId="30FA5047" w:rsidR="00682A15" w:rsidRPr="00682A15" w:rsidRDefault="00682A15" w:rsidP="00682A15">
      <w:pPr>
        <w:spacing w:after="240"/>
        <w:ind w:left="851" w:right="853"/>
        <w:rPr>
          <w:sz w:val="24"/>
          <w:szCs w:val="24"/>
        </w:rPr>
      </w:pPr>
      <w:r w:rsidRPr="00682A15">
        <w:rPr>
          <w:sz w:val="24"/>
          <w:szCs w:val="24"/>
        </w:rPr>
        <w:t xml:space="preserve">Depending upon the age of your child, we may also complete a questionnaire </w:t>
      </w:r>
      <w:r w:rsidR="006B4F7B">
        <w:rPr>
          <w:sz w:val="24"/>
          <w:szCs w:val="24"/>
        </w:rPr>
        <w:t xml:space="preserve">such as </w:t>
      </w:r>
      <w:proofErr w:type="gramStart"/>
      <w:r w:rsidR="006B4F7B">
        <w:rPr>
          <w:sz w:val="24"/>
          <w:szCs w:val="24"/>
        </w:rPr>
        <w:t xml:space="preserve">the </w:t>
      </w:r>
      <w:r w:rsidRPr="00682A15">
        <w:rPr>
          <w:sz w:val="24"/>
          <w:szCs w:val="24"/>
        </w:rPr>
        <w:t xml:space="preserve"> Listening</w:t>
      </w:r>
      <w:proofErr w:type="gramEnd"/>
      <w:r w:rsidRPr="00682A15">
        <w:rPr>
          <w:sz w:val="24"/>
          <w:szCs w:val="24"/>
        </w:rPr>
        <w:t xml:space="preserve"> Inventory for Education (LIFE). This questionnaire has pictures of different listening situations pupils find themselves in at school. Your child will be encouraged to indicate how well they can hear in each situation.</w:t>
      </w:r>
    </w:p>
    <w:p w14:paraId="6ED8A4F5" w14:textId="57190F27" w:rsidR="00682A15" w:rsidRDefault="00682A15" w:rsidP="00682A15">
      <w:pPr>
        <w:spacing w:after="240" w:line="259" w:lineRule="auto"/>
        <w:ind w:left="851" w:right="853"/>
        <w:rPr>
          <w:b/>
          <w:sz w:val="28"/>
          <w:szCs w:val="28"/>
        </w:rPr>
      </w:pPr>
      <w:r w:rsidRPr="0071281D">
        <w:rPr>
          <w:b/>
          <w:sz w:val="28"/>
          <w:szCs w:val="28"/>
        </w:rPr>
        <w:t>What happens after the assessment?</w:t>
      </w:r>
    </w:p>
    <w:p w14:paraId="3C429C05" w14:textId="0FF882FD" w:rsidR="00682A15" w:rsidRPr="00682A15" w:rsidRDefault="00682A15" w:rsidP="00682A15">
      <w:pPr>
        <w:spacing w:after="240"/>
        <w:ind w:left="851" w:right="853"/>
        <w:rPr>
          <w:sz w:val="24"/>
          <w:szCs w:val="24"/>
        </w:rPr>
      </w:pPr>
      <w:r w:rsidRPr="00682A15">
        <w:rPr>
          <w:sz w:val="24"/>
          <w:szCs w:val="24"/>
        </w:rPr>
        <w:t xml:space="preserve">After the assessment is completed a formal report will be written. Copies of this report will be sent to parents and /or </w:t>
      </w:r>
      <w:proofErr w:type="spellStart"/>
      <w:r w:rsidRPr="00682A15">
        <w:rPr>
          <w:sz w:val="24"/>
          <w:szCs w:val="24"/>
        </w:rPr>
        <w:t>carers</w:t>
      </w:r>
      <w:proofErr w:type="spellEnd"/>
      <w:r w:rsidRPr="00682A15">
        <w:rPr>
          <w:sz w:val="24"/>
          <w:szCs w:val="24"/>
        </w:rPr>
        <w:t>, your child’s school and whoever you have agreed that we may share it with.</w:t>
      </w:r>
    </w:p>
    <w:sectPr w:rsidR="00682A15" w:rsidRPr="00682A15" w:rsidSect="00100F6F">
      <w:headerReference w:type="default" r:id="rId7"/>
      <w:footerReference w:type="default" r:id="rId8"/>
      <w:pgSz w:w="11910" w:h="16840"/>
      <w:pgMar w:top="851" w:right="0" w:bottom="1134" w:left="0" w:header="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2527E" w14:textId="77777777" w:rsidR="00181BF3" w:rsidRDefault="00181BF3">
      <w:r>
        <w:separator/>
      </w:r>
    </w:p>
  </w:endnote>
  <w:endnote w:type="continuationSeparator" w:id="0">
    <w:p w14:paraId="11860D25" w14:textId="77777777" w:rsidR="00181BF3" w:rsidRDefault="0018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A0B7" w14:textId="77777777" w:rsidR="00906E73" w:rsidRDefault="00906E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862D8" w14:textId="77777777" w:rsidR="00181BF3" w:rsidRDefault="00181BF3">
      <w:r>
        <w:separator/>
      </w:r>
    </w:p>
  </w:footnote>
  <w:footnote w:type="continuationSeparator" w:id="0">
    <w:p w14:paraId="09654DB9" w14:textId="77777777" w:rsidR="00181BF3" w:rsidRDefault="00181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D295" w14:textId="3429384E" w:rsidR="00100F6F" w:rsidRDefault="00100F6F">
    <w:pPr>
      <w:pStyle w:val="Header"/>
    </w:pPr>
    <w:r>
      <w:rPr>
        <w:noProof/>
        <w:color w:val="2962FF"/>
        <w:sz w:val="20"/>
        <w:szCs w:val="20"/>
        <w:lang w:val="en-GB" w:eastAsia="en-GB"/>
      </w:rPr>
      <w:drawing>
        <wp:anchor distT="0" distB="0" distL="114300" distR="114300" simplePos="0" relativeHeight="251659264" behindDoc="1" locked="0" layoutInCell="1" allowOverlap="1" wp14:anchorId="2C61C4E1" wp14:editId="00EE114D">
          <wp:simplePos x="0" y="0"/>
          <wp:positionH relativeFrom="margin">
            <wp:posOffset>-1</wp:posOffset>
          </wp:positionH>
          <wp:positionV relativeFrom="paragraph">
            <wp:posOffset>163773</wp:posOffset>
          </wp:positionV>
          <wp:extent cx="7369791" cy="1967867"/>
          <wp:effectExtent l="0" t="0" r="3175" b="0"/>
          <wp:wrapSquare wrapText="bothSides"/>
          <wp:docPr id="11" name="Picture 11" descr="Image result for dudley mbc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dley mbc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0202" cy="19733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6C0D"/>
    <w:multiLevelType w:val="hybridMultilevel"/>
    <w:tmpl w:val="0A3E6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71303F6"/>
    <w:multiLevelType w:val="hybridMultilevel"/>
    <w:tmpl w:val="4344DAEC"/>
    <w:lvl w:ilvl="0" w:tplc="1292CF54">
      <w:start w:val="1"/>
      <w:numFmt w:val="decimal"/>
      <w:lvlText w:val="%1."/>
      <w:lvlJc w:val="left"/>
      <w:pPr>
        <w:ind w:left="1020" w:hanging="454"/>
        <w:jc w:val="left"/>
      </w:pPr>
      <w:rPr>
        <w:rFonts w:ascii="Arial" w:eastAsia="Arial" w:hAnsi="Arial" w:cs="Arial" w:hint="default"/>
        <w:color w:val="auto"/>
        <w:spacing w:val="-22"/>
        <w:w w:val="99"/>
        <w:sz w:val="24"/>
        <w:szCs w:val="24"/>
      </w:rPr>
    </w:lvl>
    <w:lvl w:ilvl="1" w:tplc="535C4A9E">
      <w:numFmt w:val="bullet"/>
      <w:lvlText w:val="•"/>
      <w:lvlJc w:val="left"/>
      <w:pPr>
        <w:ind w:left="2108" w:hanging="454"/>
      </w:pPr>
      <w:rPr>
        <w:rFonts w:hint="default"/>
      </w:rPr>
    </w:lvl>
    <w:lvl w:ilvl="2" w:tplc="12FE1EB8">
      <w:numFmt w:val="bullet"/>
      <w:lvlText w:val="•"/>
      <w:lvlJc w:val="left"/>
      <w:pPr>
        <w:ind w:left="3197" w:hanging="454"/>
      </w:pPr>
      <w:rPr>
        <w:rFonts w:hint="default"/>
      </w:rPr>
    </w:lvl>
    <w:lvl w:ilvl="3" w:tplc="DB46A8E8">
      <w:numFmt w:val="bullet"/>
      <w:lvlText w:val="•"/>
      <w:lvlJc w:val="left"/>
      <w:pPr>
        <w:ind w:left="4285" w:hanging="454"/>
      </w:pPr>
      <w:rPr>
        <w:rFonts w:hint="default"/>
      </w:rPr>
    </w:lvl>
    <w:lvl w:ilvl="4" w:tplc="7FFEBD5C">
      <w:numFmt w:val="bullet"/>
      <w:lvlText w:val="•"/>
      <w:lvlJc w:val="left"/>
      <w:pPr>
        <w:ind w:left="5374" w:hanging="454"/>
      </w:pPr>
      <w:rPr>
        <w:rFonts w:hint="default"/>
      </w:rPr>
    </w:lvl>
    <w:lvl w:ilvl="5" w:tplc="158618C0">
      <w:numFmt w:val="bullet"/>
      <w:lvlText w:val="•"/>
      <w:lvlJc w:val="left"/>
      <w:pPr>
        <w:ind w:left="6462" w:hanging="454"/>
      </w:pPr>
      <w:rPr>
        <w:rFonts w:hint="default"/>
      </w:rPr>
    </w:lvl>
    <w:lvl w:ilvl="6" w:tplc="DB528390">
      <w:numFmt w:val="bullet"/>
      <w:lvlText w:val="•"/>
      <w:lvlJc w:val="left"/>
      <w:pPr>
        <w:ind w:left="7551" w:hanging="454"/>
      </w:pPr>
      <w:rPr>
        <w:rFonts w:hint="default"/>
      </w:rPr>
    </w:lvl>
    <w:lvl w:ilvl="7" w:tplc="AEE2A8A4">
      <w:numFmt w:val="bullet"/>
      <w:lvlText w:val="•"/>
      <w:lvlJc w:val="left"/>
      <w:pPr>
        <w:ind w:left="8639" w:hanging="454"/>
      </w:pPr>
      <w:rPr>
        <w:rFonts w:hint="default"/>
      </w:rPr>
    </w:lvl>
    <w:lvl w:ilvl="8" w:tplc="1FD8E2EE">
      <w:numFmt w:val="bullet"/>
      <w:lvlText w:val="•"/>
      <w:lvlJc w:val="left"/>
      <w:pPr>
        <w:ind w:left="9728" w:hanging="4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73"/>
    <w:rsid w:val="000059EB"/>
    <w:rsid w:val="00070627"/>
    <w:rsid w:val="00100F6F"/>
    <w:rsid w:val="00104126"/>
    <w:rsid w:val="00162AC1"/>
    <w:rsid w:val="001737BA"/>
    <w:rsid w:val="00181BF3"/>
    <w:rsid w:val="003563FF"/>
    <w:rsid w:val="003D4527"/>
    <w:rsid w:val="00485A29"/>
    <w:rsid w:val="00516611"/>
    <w:rsid w:val="00682A15"/>
    <w:rsid w:val="006B4F7B"/>
    <w:rsid w:val="008C7B02"/>
    <w:rsid w:val="00906E73"/>
    <w:rsid w:val="00C1653B"/>
    <w:rsid w:val="00C17BC2"/>
    <w:rsid w:val="00D7484D"/>
    <w:rsid w:val="00E714AF"/>
    <w:rsid w:val="00ED3C79"/>
    <w:rsid w:val="00ED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3C38"/>
  <w15:docId w15:val="{2FD4865D-98C0-4778-B783-ECD8D84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0"/>
      <w:outlineLvl w:val="0"/>
    </w:pPr>
    <w:rPr>
      <w:b/>
      <w:bCs/>
      <w:sz w:val="28"/>
      <w:szCs w:val="28"/>
    </w:rPr>
  </w:style>
  <w:style w:type="paragraph" w:styleId="Heading2">
    <w:name w:val="heading 2"/>
    <w:basedOn w:val="Normal"/>
    <w:next w:val="Normal"/>
    <w:link w:val="Heading2Char"/>
    <w:uiPriority w:val="9"/>
    <w:semiHidden/>
    <w:unhideWhenUsed/>
    <w:qFormat/>
    <w:rsid w:val="00682A15"/>
    <w:pPr>
      <w:keepNext/>
      <w:keepLines/>
      <w:widowControl/>
      <w:autoSpaceDE/>
      <w:autoSpaceDN/>
      <w:spacing w:before="40" w:line="251" w:lineRule="auto"/>
      <w:ind w:left="123" w:hanging="1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7" w:line="270" w:lineRule="exact"/>
      <w:ind w:left="1020" w:hanging="4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5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29"/>
    <w:rPr>
      <w:rFonts w:ascii="Segoe UI" w:eastAsia="Arial" w:hAnsi="Segoe UI" w:cs="Segoe UI"/>
      <w:sz w:val="18"/>
      <w:szCs w:val="18"/>
    </w:rPr>
  </w:style>
  <w:style w:type="paragraph" w:styleId="Header">
    <w:name w:val="header"/>
    <w:basedOn w:val="Normal"/>
    <w:link w:val="HeaderChar"/>
    <w:uiPriority w:val="99"/>
    <w:unhideWhenUsed/>
    <w:rsid w:val="008C7B02"/>
    <w:pPr>
      <w:tabs>
        <w:tab w:val="center" w:pos="4513"/>
        <w:tab w:val="right" w:pos="9026"/>
      </w:tabs>
    </w:pPr>
  </w:style>
  <w:style w:type="character" w:customStyle="1" w:styleId="HeaderChar">
    <w:name w:val="Header Char"/>
    <w:basedOn w:val="DefaultParagraphFont"/>
    <w:link w:val="Header"/>
    <w:uiPriority w:val="99"/>
    <w:rsid w:val="008C7B02"/>
    <w:rPr>
      <w:rFonts w:ascii="Arial" w:eastAsia="Arial" w:hAnsi="Arial" w:cs="Arial"/>
    </w:rPr>
  </w:style>
  <w:style w:type="paragraph" w:styleId="Footer">
    <w:name w:val="footer"/>
    <w:basedOn w:val="Normal"/>
    <w:link w:val="FooterChar"/>
    <w:uiPriority w:val="99"/>
    <w:unhideWhenUsed/>
    <w:rsid w:val="008C7B02"/>
    <w:pPr>
      <w:tabs>
        <w:tab w:val="center" w:pos="4513"/>
        <w:tab w:val="right" w:pos="9026"/>
      </w:tabs>
    </w:pPr>
  </w:style>
  <w:style w:type="character" w:customStyle="1" w:styleId="FooterChar">
    <w:name w:val="Footer Char"/>
    <w:basedOn w:val="DefaultParagraphFont"/>
    <w:link w:val="Footer"/>
    <w:uiPriority w:val="99"/>
    <w:rsid w:val="008C7B02"/>
    <w:rPr>
      <w:rFonts w:ascii="Arial" w:eastAsia="Arial" w:hAnsi="Arial" w:cs="Arial"/>
    </w:rPr>
  </w:style>
  <w:style w:type="character" w:customStyle="1" w:styleId="Heading2Char">
    <w:name w:val="Heading 2 Char"/>
    <w:basedOn w:val="DefaultParagraphFont"/>
    <w:link w:val="Heading2"/>
    <w:uiPriority w:val="9"/>
    <w:semiHidden/>
    <w:rsid w:val="00682A15"/>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0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url=https%3A%2F%2Fin-tendhost.co.uk%2Fblackcountryportal%2Faspx%2FTenders%2FCurrent&amp;psig=AOvVaw23nXteWRb-NS25EqkzhkcG&amp;ust=1584624082829000&amp;source=images&amp;cd=vfe&amp;ved=0CAIQjRxqFwoTCJCKj--OpO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DDS VI factsheet - eye patch.indd</vt:lpstr>
    </vt:vector>
  </TitlesOfParts>
  <Company>Dudley MBC</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VI factsheet - eye patch.indd</dc:title>
  <dc:creator>Judy Lewis (Education Outcomes)</dc:creator>
  <cp:lastModifiedBy>Lori Arthurs (SEND)</cp:lastModifiedBy>
  <cp:revision>2</cp:revision>
  <cp:lastPrinted>2019-09-04T13:27:00Z</cp:lastPrinted>
  <dcterms:created xsi:type="dcterms:W3CDTF">2021-02-12T16:11:00Z</dcterms:created>
  <dcterms:modified xsi:type="dcterms:W3CDTF">2021-02-12T16:11:00Z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Adobe InDesign CC 14.0 (Macintosh)</vt:lpwstr>
  </property>
  <property fmtid="{D5CDD505-2E9C-101B-9397-08002B2CF9AE}" pid="4" name="LastSaved">
    <vt:filetime>2019-07-17T00:00:00Z</vt:filetime>
  </property>
</Properties>
</file>